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77DE" w14:textId="77777777" w:rsidR="003B2DEE" w:rsidRDefault="00000000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嘉</w:t>
      </w:r>
      <w:proofErr w:type="gramStart"/>
      <w:r>
        <w:rPr>
          <w:rFonts w:ascii="楷体_GB2312" w:eastAsia="楷体_GB2312" w:hAnsi="宋体" w:hint="eastAsia"/>
          <w:sz w:val="28"/>
        </w:rPr>
        <w:t>庚创新</w:t>
      </w:r>
      <w:proofErr w:type="gramEnd"/>
      <w:r>
        <w:rPr>
          <w:rFonts w:ascii="楷体_GB2312" w:eastAsia="楷体_GB2312" w:hAnsi="宋体" w:hint="eastAsia"/>
          <w:sz w:val="28"/>
        </w:rPr>
        <w:t>实验室公共支撑平台</w:t>
      </w:r>
    </w:p>
    <w:p w14:paraId="5AEB77DF" w14:textId="77777777" w:rsidR="003B2DEE" w:rsidRDefault="00000000">
      <w:pPr>
        <w:ind w:leftChars="200" w:left="420"/>
        <w:jc w:val="center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b/>
          <w:sz w:val="28"/>
          <w:szCs w:val="28"/>
          <w:u w:val="single"/>
        </w:rPr>
        <w:t>IONTOF M6飞行时间二次离子质谱</w:t>
      </w:r>
      <w:r>
        <w:rPr>
          <w:rFonts w:ascii="黑体" w:eastAsia="黑体" w:hint="eastAsia"/>
          <w:sz w:val="28"/>
          <w:szCs w:val="28"/>
          <w:u w:val="single"/>
        </w:rPr>
        <w:t>实验机时申请表</w:t>
      </w:r>
    </w:p>
    <w:tbl>
      <w:tblPr>
        <w:tblW w:w="10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8"/>
      </w:tblGrid>
      <w:tr w:rsidR="003B2DEE" w14:paraId="5AEB77E1" w14:textId="77777777">
        <w:tc>
          <w:tcPr>
            <w:tcW w:w="10509" w:type="dxa"/>
          </w:tcPr>
          <w:p w14:paraId="5AEB77E0" w14:textId="77777777" w:rsidR="003B2DEE" w:rsidRDefault="00000000">
            <w:r>
              <w:rPr>
                <w:rFonts w:ascii="黑体" w:eastAsia="黑体" w:hint="eastAsia"/>
              </w:rPr>
              <w:t>以下由实验申请人填写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B2DEE" w14:paraId="5AEB784B" w14:textId="77777777">
        <w:trPr>
          <w:trHeight w:val="6836"/>
        </w:trPr>
        <w:tc>
          <w:tcPr>
            <w:tcW w:w="10509" w:type="dxa"/>
          </w:tcPr>
          <w:p w14:paraId="5AEB77E2" w14:textId="77777777" w:rsidR="003B2DEE" w:rsidRDefault="00000000">
            <w:pPr>
              <w:spacing w:line="400" w:lineRule="exact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负责人（或导师）：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所在单位：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5AEB77E3" w14:textId="77777777" w:rsidR="003B2DEE" w:rsidRDefault="00000000">
            <w:pPr>
              <w:spacing w:line="400" w:lineRule="exact"/>
            </w:pPr>
            <w:r>
              <w:rPr>
                <w:rFonts w:hint="eastAsia"/>
              </w:rPr>
              <w:t>联系方式：（请写明系别、专业、房间号）：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14:paraId="5AEB77E4" w14:textId="77777777" w:rsidR="003B2DEE" w:rsidRDefault="00000000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 w14:paraId="5AEB77E5" w14:textId="77777777" w:rsidR="003B2DEE" w:rsidRDefault="00000000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样品名称：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>样品个数：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样品其它信息：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14:paraId="5AEB77E6" w14:textId="77777777" w:rsidR="003B2DEE" w:rsidRDefault="00000000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注意事项：</w:t>
            </w:r>
          </w:p>
          <w:p w14:paraId="5AEB77E7" w14:textId="77777777" w:rsidR="003B2DEE" w:rsidRDefault="00000000">
            <w:pPr>
              <w:ind w:left="178" w:hangingChars="85" w:hanging="178"/>
              <w:rPr>
                <w:szCs w:val="18"/>
              </w:rPr>
            </w:pPr>
            <w:r>
              <w:rPr>
                <w:rFonts w:hint="eastAsia"/>
                <w:szCs w:val="21"/>
              </w:rPr>
              <w:t xml:space="preserve">* </w:t>
            </w:r>
            <w:r>
              <w:rPr>
                <w:rFonts w:hint="eastAsia"/>
                <w:szCs w:val="21"/>
              </w:rPr>
              <w:t>用户应遵守本实验室的规章制度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实验完成后装样容器及时取回，未及时取回者下次申请延期安排；</w:t>
            </w:r>
          </w:p>
          <w:p w14:paraId="5AEB77E8" w14:textId="77777777" w:rsidR="003B2DEE" w:rsidRDefault="00000000">
            <w:pPr>
              <w:ind w:left="178" w:hangingChars="85" w:hanging="178"/>
              <w:rPr>
                <w:b/>
                <w:bCs/>
                <w:szCs w:val="18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仪器内部为超高真空（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-9</w:t>
            </w:r>
            <w:r>
              <w:rPr>
                <w:rFonts w:hint="eastAsia"/>
                <w:szCs w:val="21"/>
              </w:rPr>
              <w:t>mbar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18"/>
              </w:rPr>
              <w:t>本机所有样品</w:t>
            </w:r>
            <w:r>
              <w:rPr>
                <w:rFonts w:hint="eastAsia"/>
                <w:b/>
                <w:szCs w:val="18"/>
              </w:rPr>
              <w:t>必须经过</w:t>
            </w:r>
            <w:r>
              <w:rPr>
                <w:rFonts w:hint="eastAsia"/>
                <w:b/>
                <w:color w:val="FF0000"/>
                <w:szCs w:val="18"/>
              </w:rPr>
              <w:t>充分干燥</w:t>
            </w:r>
            <w:r>
              <w:rPr>
                <w:rFonts w:hint="eastAsia"/>
                <w:szCs w:val="18"/>
              </w:rPr>
              <w:t>；不接受低熔点或易分解的样品；</w:t>
            </w:r>
            <w:r>
              <w:rPr>
                <w:rFonts w:hint="eastAsia"/>
                <w:color w:val="FF0000"/>
                <w:szCs w:val="18"/>
              </w:rPr>
              <w:t>磁性</w:t>
            </w:r>
            <w:r>
              <w:rPr>
                <w:rFonts w:hint="eastAsia"/>
                <w:szCs w:val="18"/>
              </w:rPr>
              <w:t>样品与管理员具体联系；</w:t>
            </w:r>
            <w:r>
              <w:rPr>
                <w:rFonts w:hint="eastAsia"/>
                <w:b/>
                <w:bCs/>
                <w:color w:val="FF0000"/>
                <w:szCs w:val="18"/>
              </w:rPr>
              <w:t>谢绝毒性、放射性、易吸脱附、释放气体样品</w:t>
            </w:r>
            <w:r>
              <w:rPr>
                <w:rFonts w:hint="eastAsia"/>
                <w:b/>
                <w:bCs/>
                <w:szCs w:val="18"/>
              </w:rPr>
              <w:t>（如碘单质，含有硫醇类，或未充分干燥的电极极片）</w:t>
            </w:r>
            <w:r>
              <w:rPr>
                <w:rFonts w:hint="eastAsia"/>
                <w:b/>
                <w:bCs/>
                <w:szCs w:val="18"/>
              </w:rPr>
              <w:t>;</w:t>
            </w:r>
          </w:p>
          <w:p w14:paraId="5AEB77E9" w14:textId="77777777" w:rsidR="003B2DE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粉末样品需压片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或吹撒处理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；样品若需回收请特别注明，如无注明默认不回收，回收样品测试结束后保留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个工作日。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14:paraId="5AEB77EA" w14:textId="77777777" w:rsidR="003B2DEE" w:rsidRDefault="00000000">
            <w:pPr>
              <w:ind w:left="178" w:hangingChars="85" w:hanging="17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* </w:t>
            </w:r>
            <w:r>
              <w:rPr>
                <w:rFonts w:hint="eastAsia"/>
                <w:szCs w:val="21"/>
              </w:rPr>
              <w:t>样品尺寸要求：固体样品平面尺寸：</w:t>
            </w:r>
            <w:r>
              <w:rPr>
                <w:rFonts w:hint="eastAsia"/>
                <w:szCs w:val="21"/>
              </w:rPr>
              <w:t>10 x 10 mm</w:t>
            </w:r>
            <w:r>
              <w:rPr>
                <w:rFonts w:hint="eastAsia"/>
                <w:szCs w:val="21"/>
              </w:rPr>
              <w:t>＜样品尺寸＜</w:t>
            </w:r>
            <w:r>
              <w:rPr>
                <w:rFonts w:hint="eastAsia"/>
                <w:szCs w:val="21"/>
              </w:rPr>
              <w:t>20 X 20 mm</w:t>
            </w:r>
            <w:r>
              <w:rPr>
                <w:rFonts w:hint="eastAsia"/>
                <w:szCs w:val="21"/>
              </w:rPr>
              <w:t>，高度不超过</w:t>
            </w:r>
            <w:r>
              <w:rPr>
                <w:rFonts w:hint="eastAsia"/>
                <w:szCs w:val="21"/>
              </w:rPr>
              <w:t>5mm</w:t>
            </w:r>
            <w:r>
              <w:rPr>
                <w:rFonts w:hint="eastAsia"/>
                <w:szCs w:val="21"/>
              </w:rPr>
              <w:t>。</w:t>
            </w:r>
          </w:p>
          <w:p w14:paraId="5AEB77EB" w14:textId="77777777" w:rsidR="003B2DEE" w:rsidRDefault="00000000">
            <w:pPr>
              <w:ind w:left="178" w:hangingChars="85" w:hanging="17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* </w:t>
            </w:r>
            <w:r>
              <w:rPr>
                <w:rFonts w:hint="eastAsia"/>
                <w:szCs w:val="21"/>
              </w:rPr>
              <w:t>粉末尺寸需要压片后送样（胶带压法或铟箔，方法附后），如不能压片的需要联系管理员。</w:t>
            </w:r>
          </w:p>
          <w:p w14:paraId="5AEB77EC" w14:textId="6F8D6C6E" w:rsidR="003B2DEE" w:rsidRDefault="00000000">
            <w:pPr>
              <w:ind w:left="178" w:hangingChars="85" w:hanging="178"/>
              <w:rPr>
                <w:b/>
                <w:bCs/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如无特殊情况，样品测试在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个工作日内完成，如对数据有疑义请于数据上传后的</w:t>
            </w:r>
            <w:r w:rsidR="000A5351">
              <w:rPr>
                <w:rFonts w:hint="eastAsia"/>
                <w:b/>
                <w:bCs/>
                <w:szCs w:val="21"/>
              </w:rPr>
              <w:t>两周</w:t>
            </w:r>
            <w:r>
              <w:rPr>
                <w:rFonts w:hint="eastAsia"/>
                <w:b/>
                <w:bCs/>
                <w:szCs w:val="21"/>
              </w:rPr>
              <w:t>内提出。</w:t>
            </w:r>
          </w:p>
          <w:p w14:paraId="5AEB77ED" w14:textId="77777777" w:rsidR="003B2DEE" w:rsidRDefault="00000000">
            <w:pPr>
              <w:ind w:left="179" w:hangingChars="85" w:hanging="17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实验目的及预期结果：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请详细填写样品信息以更好完成测试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  <w:p w14:paraId="5AEB77EE" w14:textId="77777777" w:rsidR="003B2DEE" w:rsidRDefault="0000000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</w:p>
          <w:tbl>
            <w:tblPr>
              <w:tblStyle w:val="a8"/>
              <w:tblW w:w="10362" w:type="dxa"/>
              <w:jc w:val="center"/>
              <w:tblLook w:val="04A0" w:firstRow="1" w:lastRow="0" w:firstColumn="1" w:lastColumn="0" w:noHBand="0" w:noVBand="1"/>
            </w:tblPr>
            <w:tblGrid>
              <w:gridCol w:w="2750"/>
              <w:gridCol w:w="7612"/>
            </w:tblGrid>
            <w:tr w:rsidR="003B2DEE" w14:paraId="5AEB77F2" w14:textId="77777777">
              <w:trPr>
                <w:jc w:val="center"/>
              </w:trPr>
              <w:tc>
                <w:tcPr>
                  <w:tcW w:w="1327" w:type="pct"/>
                  <w:vAlign w:val="center"/>
                </w:tcPr>
                <w:p w14:paraId="5AEB77EF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样品编号与代号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7F0" w14:textId="77777777" w:rsidR="003B2DEE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样品编号：</w:t>
                  </w:r>
                  <w:r>
                    <w:rPr>
                      <w:rFonts w:hint="eastAsia"/>
                      <w:b/>
                      <w:color w:val="FF0000"/>
                    </w:rPr>
                    <w:t>1</w:t>
                  </w:r>
                  <w:r>
                    <w:rPr>
                      <w:rFonts w:hint="eastAsia"/>
                      <w:b/>
                      <w:color w:val="FF0000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</w:rPr>
                    <w:t>3</w:t>
                  </w:r>
                </w:p>
                <w:p w14:paraId="5AEB77F1" w14:textId="77777777" w:rsidR="003B2DEE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样品代号：</w:t>
                  </w:r>
                </w:p>
              </w:tc>
            </w:tr>
            <w:tr w:rsidR="003B2DEE" w14:paraId="5AEB77F5" w14:textId="77777777">
              <w:trPr>
                <w:trHeight w:val="678"/>
                <w:jc w:val="center"/>
              </w:trPr>
              <w:tc>
                <w:tcPr>
                  <w:tcW w:w="1327" w:type="pct"/>
                  <w:vAlign w:val="center"/>
                </w:tcPr>
                <w:p w14:paraId="5AEB77F3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样品形态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7F4" w14:textId="77777777" w:rsidR="003B2DEE" w:rsidRDefault="003B2DEE">
                  <w:pPr>
                    <w:rPr>
                      <w:b/>
                      <w:bCs/>
                    </w:rPr>
                  </w:pPr>
                </w:p>
              </w:tc>
            </w:tr>
            <w:tr w:rsidR="003B2DEE" w14:paraId="5AEB77F8" w14:textId="77777777">
              <w:trPr>
                <w:trHeight w:val="651"/>
                <w:jc w:val="center"/>
              </w:trPr>
              <w:tc>
                <w:tcPr>
                  <w:tcW w:w="1327" w:type="pct"/>
                  <w:vAlign w:val="center"/>
                </w:tcPr>
                <w:p w14:paraId="5AEB77F6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测试项目（表面谱</w:t>
                  </w: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二</w:t>
                  </w:r>
                  <w:proofErr w:type="gramStart"/>
                  <w:r>
                    <w:rPr>
                      <w:rFonts w:hint="eastAsia"/>
                      <w:b/>
                    </w:rPr>
                    <w:t>维面扫</w:t>
                  </w:r>
                  <w:proofErr w:type="gramEnd"/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三维剖析）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7F7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7FB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7F9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离子模式（正</w:t>
                  </w: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负）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7FA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7FF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7FC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样品成分信息（需要检测的基团或元素的碎片）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7FD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正离子：</w:t>
                  </w:r>
                </w:p>
                <w:p w14:paraId="5AEB77FE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负离子：</w:t>
                  </w:r>
                </w:p>
              </w:tc>
            </w:tr>
            <w:tr w:rsidR="003B2DEE" w14:paraId="5AEB7802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00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检测区域（</w:t>
                  </w:r>
                  <w:r>
                    <w:rPr>
                      <w:rFonts w:hint="eastAsia"/>
                      <w:b/>
                      <w:bCs/>
                    </w:rPr>
                    <w:t>20</w:t>
                  </w:r>
                  <w:r>
                    <w:rPr>
                      <w:rFonts w:hint="eastAsia"/>
                      <w:b/>
                      <w:bCs/>
                    </w:rPr>
                    <w:t>μ</w:t>
                  </w:r>
                  <w:r>
                    <w:rPr>
                      <w:rFonts w:hint="eastAsia"/>
                      <w:b/>
                      <w:bCs/>
                    </w:rPr>
                    <w:t>m</w:t>
                  </w:r>
                  <w:r>
                    <w:rPr>
                      <w:rFonts w:hint="eastAsia"/>
                      <w:b/>
                      <w:bCs/>
                    </w:rPr>
                    <w:t>到</w:t>
                  </w:r>
                  <w:r>
                    <w:rPr>
                      <w:rFonts w:hint="eastAsia"/>
                      <w:b/>
                      <w:bCs/>
                    </w:rPr>
                    <w:t>500</w:t>
                  </w:r>
                  <w:r>
                    <w:rPr>
                      <w:rFonts w:hint="eastAsia"/>
                      <w:b/>
                      <w:bCs/>
                    </w:rPr>
                    <w:t>μ</w:t>
                  </w:r>
                  <w:r>
                    <w:rPr>
                      <w:rFonts w:hint="eastAsia"/>
                      <w:b/>
                      <w:bCs/>
                    </w:rPr>
                    <w:t>m</w:t>
                  </w:r>
                  <w:r>
                    <w:rPr>
                      <w:rFonts w:hint="eastAsia"/>
                      <w:b/>
                      <w:bCs/>
                    </w:rPr>
                    <w:t>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01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05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03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深度剖析厚度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04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08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06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总体测试说明（包括样品信息，测试要求以及停止条件）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07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0B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09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样品结构示意图（如有，包括多层膜或表面分布等）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0A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0E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0C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其他表征结果（如有）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0D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11" w14:textId="77777777">
              <w:trPr>
                <w:trHeight w:val="794"/>
                <w:jc w:val="center"/>
              </w:trPr>
              <w:tc>
                <w:tcPr>
                  <w:tcW w:w="5000" w:type="pct"/>
                  <w:gridSpan w:val="2"/>
                </w:tcPr>
                <w:p w14:paraId="5AEB780F" w14:textId="77777777" w:rsidR="003B2DEE" w:rsidRDefault="00000000">
                  <w:pPr>
                    <w:jc w:val="left"/>
                    <w:rPr>
                      <w:b/>
                      <w:bCs/>
                      <w:sz w:val="24"/>
                    </w:rPr>
                  </w:pPr>
                  <w:proofErr w:type="gramStart"/>
                  <w:r>
                    <w:rPr>
                      <w:rFonts w:hint="eastAsia"/>
                      <w:b/>
                      <w:bCs/>
                      <w:sz w:val="24"/>
                    </w:rPr>
                    <w:lastRenderedPageBreak/>
                    <w:t>余样处理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24"/>
                    </w:rPr>
                    <w:t>：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用户回收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由管理员直接报废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其他：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</w:rPr>
                    <w:t xml:space="preserve">   </w:t>
                  </w:r>
                </w:p>
                <w:p w14:paraId="5AEB7810" w14:textId="77777777" w:rsidR="003B2DEE" w:rsidRDefault="00000000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备注：</w:t>
                  </w: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</w:p>
              </w:tc>
            </w:tr>
          </w:tbl>
          <w:p w14:paraId="5AEB7812" w14:textId="77777777" w:rsidR="003B2DEE" w:rsidRDefault="003B2DEE"/>
          <w:p w14:paraId="5AEB7813" w14:textId="77777777" w:rsidR="003B2DE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其他说明（实验目的或预期效果）：</w:t>
            </w:r>
          </w:p>
          <w:p w14:paraId="5AEB7814" w14:textId="77777777" w:rsidR="003B2DEE" w:rsidRDefault="003B2DEE"/>
          <w:p w14:paraId="5AEB7815" w14:textId="77777777" w:rsidR="003B2DEE" w:rsidRDefault="003B2DEE"/>
          <w:p w14:paraId="5AEB7816" w14:textId="77777777" w:rsidR="003B2DEE" w:rsidRDefault="003B2DEE"/>
          <w:p w14:paraId="5AEB7817" w14:textId="77777777" w:rsidR="003B2DEE" w:rsidRDefault="003B2DEE"/>
          <w:p w14:paraId="5AEB7818" w14:textId="77777777" w:rsidR="003B2DEE" w:rsidRDefault="003B2DEE"/>
          <w:p w14:paraId="5AEB7819" w14:textId="77777777" w:rsidR="003B2DEE" w:rsidRDefault="003B2DEE"/>
          <w:p w14:paraId="5AEB781A" w14:textId="77777777" w:rsidR="003B2DEE" w:rsidRDefault="00000000">
            <w:r>
              <w:br w:type="page"/>
            </w:r>
          </w:p>
          <w:tbl>
            <w:tblPr>
              <w:tblStyle w:val="a8"/>
              <w:tblW w:w="10362" w:type="dxa"/>
              <w:jc w:val="center"/>
              <w:tblLook w:val="04A0" w:firstRow="1" w:lastRow="0" w:firstColumn="1" w:lastColumn="0" w:noHBand="0" w:noVBand="1"/>
            </w:tblPr>
            <w:tblGrid>
              <w:gridCol w:w="2750"/>
              <w:gridCol w:w="7612"/>
            </w:tblGrid>
            <w:tr w:rsidR="003B2DEE" w14:paraId="5AEB781E" w14:textId="77777777">
              <w:trPr>
                <w:jc w:val="center"/>
              </w:trPr>
              <w:tc>
                <w:tcPr>
                  <w:tcW w:w="1327" w:type="pct"/>
                  <w:vAlign w:val="center"/>
                </w:tcPr>
                <w:p w14:paraId="5AEB781B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样品编号与代号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1C" w14:textId="77777777" w:rsidR="003B2DEE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样品编号：</w:t>
                  </w:r>
                  <w:r>
                    <w:rPr>
                      <w:rFonts w:hint="eastAsia"/>
                      <w:b/>
                    </w:rPr>
                    <w:t>4</w:t>
                  </w:r>
                  <w:r>
                    <w:rPr>
                      <w:rFonts w:hint="eastAsia"/>
                      <w:b/>
                    </w:rPr>
                    <w:t>、</w:t>
                  </w:r>
                  <w:r>
                    <w:rPr>
                      <w:rFonts w:hint="eastAsia"/>
                      <w:b/>
                    </w:rPr>
                    <w:t>5</w:t>
                  </w:r>
                </w:p>
                <w:p w14:paraId="5AEB781D" w14:textId="77777777" w:rsidR="003B2DEE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样品代号：</w:t>
                  </w:r>
                </w:p>
              </w:tc>
            </w:tr>
            <w:tr w:rsidR="003B2DEE" w14:paraId="5AEB7821" w14:textId="77777777">
              <w:trPr>
                <w:trHeight w:val="678"/>
                <w:jc w:val="center"/>
              </w:trPr>
              <w:tc>
                <w:tcPr>
                  <w:tcW w:w="1327" w:type="pct"/>
                  <w:vAlign w:val="center"/>
                </w:tcPr>
                <w:p w14:paraId="5AEB781F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样品形态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20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24" w14:textId="77777777">
              <w:trPr>
                <w:trHeight w:val="651"/>
                <w:jc w:val="center"/>
              </w:trPr>
              <w:tc>
                <w:tcPr>
                  <w:tcW w:w="1327" w:type="pct"/>
                  <w:vAlign w:val="center"/>
                </w:tcPr>
                <w:p w14:paraId="5AEB7822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测试项目（表面谱</w:t>
                  </w: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二</w:t>
                  </w:r>
                  <w:proofErr w:type="gramStart"/>
                  <w:r>
                    <w:rPr>
                      <w:rFonts w:hint="eastAsia"/>
                      <w:b/>
                    </w:rPr>
                    <w:t>维面扫</w:t>
                  </w:r>
                  <w:proofErr w:type="gramEnd"/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三维剖析）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23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27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25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离子模式（正</w:t>
                  </w: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负）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26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2B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28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样品成分信息（需要检测的基团或元素的碎片）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29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正离子：</w:t>
                  </w:r>
                </w:p>
                <w:p w14:paraId="5AEB782A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负离子：</w:t>
                  </w:r>
                </w:p>
              </w:tc>
            </w:tr>
            <w:tr w:rsidR="003B2DEE" w14:paraId="5AEB782E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2C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检测区域（</w:t>
                  </w:r>
                  <w:r>
                    <w:rPr>
                      <w:rFonts w:hint="eastAsia"/>
                      <w:b/>
                      <w:bCs/>
                    </w:rPr>
                    <w:t>20</w:t>
                  </w:r>
                  <w:r>
                    <w:rPr>
                      <w:rFonts w:hint="eastAsia"/>
                      <w:b/>
                      <w:bCs/>
                    </w:rPr>
                    <w:t>μ</w:t>
                  </w:r>
                  <w:r>
                    <w:rPr>
                      <w:rFonts w:hint="eastAsia"/>
                      <w:b/>
                      <w:bCs/>
                    </w:rPr>
                    <w:t>m</w:t>
                  </w:r>
                  <w:r>
                    <w:rPr>
                      <w:rFonts w:hint="eastAsia"/>
                      <w:b/>
                      <w:bCs/>
                    </w:rPr>
                    <w:t>到</w:t>
                  </w:r>
                  <w:r>
                    <w:rPr>
                      <w:rFonts w:hint="eastAsia"/>
                      <w:b/>
                      <w:bCs/>
                    </w:rPr>
                    <w:t>500</w:t>
                  </w:r>
                  <w:r>
                    <w:rPr>
                      <w:rFonts w:hint="eastAsia"/>
                      <w:b/>
                      <w:bCs/>
                    </w:rPr>
                    <w:t>μ</w:t>
                  </w:r>
                  <w:r>
                    <w:rPr>
                      <w:rFonts w:hint="eastAsia"/>
                      <w:b/>
                      <w:bCs/>
                    </w:rPr>
                    <w:t>m</w:t>
                  </w:r>
                  <w:r>
                    <w:rPr>
                      <w:rFonts w:hint="eastAsia"/>
                      <w:b/>
                      <w:bCs/>
                    </w:rPr>
                    <w:t>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2D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31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2F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深度剖析厚度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30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34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32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总体测试说明（包括样品信息，测试要求以及停止条件）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33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37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35" w14:textId="77777777" w:rsidR="003B2DEE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样品结构示意图（如有，包括多层膜或表面分布等）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36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3A" w14:textId="77777777">
              <w:trPr>
                <w:trHeight w:val="794"/>
                <w:jc w:val="center"/>
              </w:trPr>
              <w:tc>
                <w:tcPr>
                  <w:tcW w:w="1327" w:type="pct"/>
                  <w:vAlign w:val="center"/>
                </w:tcPr>
                <w:p w14:paraId="5AEB7838" w14:textId="77777777" w:rsidR="003B2DEE" w:rsidRDefault="00000000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其他表征结果（如有）</w:t>
                  </w:r>
                </w:p>
              </w:tc>
              <w:tc>
                <w:tcPr>
                  <w:tcW w:w="3673" w:type="pct"/>
                  <w:vAlign w:val="center"/>
                </w:tcPr>
                <w:p w14:paraId="5AEB7839" w14:textId="77777777" w:rsidR="003B2DEE" w:rsidRDefault="003B2DE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B2DEE" w14:paraId="5AEB783D" w14:textId="77777777">
              <w:trPr>
                <w:trHeight w:val="794"/>
                <w:jc w:val="center"/>
              </w:trPr>
              <w:tc>
                <w:tcPr>
                  <w:tcW w:w="5000" w:type="pct"/>
                  <w:gridSpan w:val="2"/>
                </w:tcPr>
                <w:p w14:paraId="5AEB783B" w14:textId="77777777" w:rsidR="003B2DEE" w:rsidRDefault="00000000">
                  <w:pPr>
                    <w:jc w:val="left"/>
                    <w:rPr>
                      <w:b/>
                      <w:bCs/>
                      <w:sz w:val="24"/>
                    </w:rPr>
                  </w:pPr>
                  <w:proofErr w:type="gramStart"/>
                  <w:r>
                    <w:rPr>
                      <w:rFonts w:hint="eastAsia"/>
                      <w:b/>
                      <w:bCs/>
                      <w:sz w:val="24"/>
                    </w:rPr>
                    <w:t>余样处理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24"/>
                    </w:rPr>
                    <w:t>：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用户回收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由管理员直接报废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其他：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</w:rPr>
                    <w:t xml:space="preserve">   </w:t>
                  </w:r>
                </w:p>
                <w:p w14:paraId="5AEB783C" w14:textId="77777777" w:rsidR="003B2DEE" w:rsidRDefault="00000000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备注：</w:t>
                  </w: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</w:p>
              </w:tc>
            </w:tr>
          </w:tbl>
          <w:p w14:paraId="5AEB783E" w14:textId="77777777" w:rsidR="003B2DEE" w:rsidRDefault="003B2DEE"/>
          <w:p w14:paraId="5AEB783F" w14:textId="77777777" w:rsidR="003B2DE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其他说明（实验目的或预期效果）：</w:t>
            </w:r>
          </w:p>
          <w:p w14:paraId="5AEB7840" w14:textId="77777777" w:rsidR="003B2DEE" w:rsidRDefault="003B2DEE"/>
          <w:p w14:paraId="5AEB7841" w14:textId="77777777" w:rsidR="003B2DEE" w:rsidRDefault="003B2DEE"/>
          <w:p w14:paraId="5AEB7842" w14:textId="77777777" w:rsidR="003B2DEE" w:rsidRDefault="003B2DEE"/>
          <w:p w14:paraId="5AEB7843" w14:textId="77777777" w:rsidR="003B2DEE" w:rsidRDefault="003B2DEE"/>
          <w:p w14:paraId="5AEB7844" w14:textId="77777777" w:rsidR="003B2DEE" w:rsidRDefault="00000000">
            <w:pPr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br w:type="page"/>
            </w:r>
          </w:p>
          <w:p w14:paraId="5AEB7845" w14:textId="77777777" w:rsidR="003B2DEE" w:rsidRDefault="003B2DEE">
            <w:pPr>
              <w:ind w:left="178" w:hangingChars="85" w:hanging="178"/>
              <w:rPr>
                <w:szCs w:val="21"/>
              </w:rPr>
            </w:pPr>
          </w:p>
          <w:p w14:paraId="5AEB7846" w14:textId="77777777" w:rsidR="003B2DEE" w:rsidRDefault="00000000">
            <w:pPr>
              <w:adjustRightInd w:val="0"/>
              <w:snapToGrid w:val="0"/>
            </w:pPr>
            <w:r>
              <w:rPr>
                <w:rFonts w:ascii="黑体" w:eastAsia="黑体" w:hint="eastAsia"/>
                <w:b/>
                <w:bCs/>
                <w:sz w:val="24"/>
              </w:rPr>
              <w:t>声   明：</w:t>
            </w:r>
          </w:p>
          <w:p w14:paraId="5AEB7847" w14:textId="77777777" w:rsidR="003B2DE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因隐瞒样品属性导致设备污染、损坏而引起的经济损失，由</w:t>
            </w:r>
            <w:proofErr w:type="gramStart"/>
            <w:r>
              <w:rPr>
                <w:rFonts w:hint="eastAsia"/>
              </w:rPr>
              <w:t>我科研</w:t>
            </w:r>
            <w:proofErr w:type="gramEnd"/>
            <w:r>
              <w:rPr>
                <w:rFonts w:hint="eastAsia"/>
              </w:rPr>
              <w:t>项目经费赔偿；</w:t>
            </w:r>
          </w:p>
          <w:p w14:paraId="5AEB7848" w14:textId="77777777" w:rsidR="003B2DE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因误操作导致仪器损坏，所需维修费将从</w:t>
            </w:r>
            <w:proofErr w:type="gramStart"/>
            <w:r>
              <w:rPr>
                <w:rFonts w:hint="eastAsia"/>
              </w:rPr>
              <w:t>我科研</w:t>
            </w:r>
            <w:proofErr w:type="gramEnd"/>
            <w:r>
              <w:rPr>
                <w:rFonts w:hint="eastAsia"/>
              </w:rPr>
              <w:t>项目经费中赔偿。</w:t>
            </w:r>
          </w:p>
          <w:p w14:paraId="5AEB7849" w14:textId="77777777" w:rsidR="003B2DEE" w:rsidRDefault="00000000">
            <w:pPr>
              <w:spacing w:beforeLines="50" w:before="156"/>
              <w:ind w:firstLineChars="400" w:firstLine="964"/>
            </w:pPr>
            <w:r>
              <w:rPr>
                <w:rFonts w:ascii="黑体" w:eastAsia="黑体" w:hint="eastAsia"/>
                <w:b/>
                <w:bCs/>
                <w:sz w:val="24"/>
              </w:rPr>
              <w:t>我已经认真阅读并同意以上注意事项和各项声明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14:paraId="5AEB784A" w14:textId="77777777" w:rsidR="003B2DEE" w:rsidRDefault="00000000">
            <w:pPr>
              <w:spacing w:beforeLines="50" w:before="156"/>
              <w:ind w:firstLineChars="1000" w:firstLine="2100"/>
            </w:pPr>
            <w:r>
              <w:rPr>
                <w:rFonts w:hint="eastAsia"/>
              </w:rPr>
              <w:t>负责人、导师签字：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AEB784C" w14:textId="77777777" w:rsidR="003B2DEE" w:rsidRDefault="00000000">
      <w:pPr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br w:type="page"/>
      </w:r>
    </w:p>
    <w:p w14:paraId="5AEB784D" w14:textId="77777777" w:rsidR="003B2DEE" w:rsidRDefault="00000000">
      <w:p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t>其他说明（</w:t>
      </w:r>
      <w:r>
        <w:rPr>
          <w:rFonts w:ascii="黑体" w:eastAsia="黑体" w:hint="eastAsia"/>
          <w:b/>
          <w:bCs/>
          <w:color w:val="FF0000"/>
          <w:sz w:val="24"/>
        </w:rPr>
        <w:t>不用打印</w:t>
      </w:r>
      <w:r>
        <w:rPr>
          <w:rFonts w:ascii="黑体" w:eastAsia="黑体" w:hint="eastAsia"/>
          <w:b/>
          <w:bCs/>
          <w:sz w:val="24"/>
        </w:rPr>
        <w:t>）：</w:t>
      </w:r>
    </w:p>
    <w:p w14:paraId="5AEB784E" w14:textId="77777777" w:rsidR="003B2DEE" w:rsidRDefault="00000000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color w:val="FF0000"/>
          <w:sz w:val="24"/>
        </w:rPr>
      </w:pPr>
      <w:r>
        <w:rPr>
          <w:rFonts w:ascii="黑体" w:eastAsia="黑体" w:hint="eastAsia"/>
          <w:b/>
          <w:bCs/>
          <w:sz w:val="24"/>
        </w:rPr>
        <w:t>本仪器具有表面谱、二</w:t>
      </w:r>
      <w:proofErr w:type="gramStart"/>
      <w:r>
        <w:rPr>
          <w:rFonts w:ascii="黑体" w:eastAsia="黑体" w:hint="eastAsia"/>
          <w:b/>
          <w:bCs/>
          <w:sz w:val="24"/>
        </w:rPr>
        <w:t>维面扫</w:t>
      </w:r>
      <w:proofErr w:type="gramEnd"/>
      <w:r>
        <w:rPr>
          <w:rFonts w:ascii="黑体" w:eastAsia="黑体" w:hint="eastAsia"/>
          <w:b/>
          <w:bCs/>
          <w:sz w:val="24"/>
        </w:rPr>
        <w:t>、三维剖析重构等功能，以及转移仓传输</w:t>
      </w:r>
      <w:proofErr w:type="gramStart"/>
      <w:r>
        <w:rPr>
          <w:rFonts w:ascii="黑体" w:eastAsia="黑体" w:hint="eastAsia"/>
          <w:b/>
          <w:bCs/>
          <w:sz w:val="24"/>
        </w:rPr>
        <w:t>惰气保护</w:t>
      </w:r>
      <w:proofErr w:type="gramEnd"/>
      <w:r>
        <w:rPr>
          <w:rFonts w:ascii="黑体" w:eastAsia="黑体" w:hint="eastAsia"/>
          <w:b/>
          <w:bCs/>
          <w:sz w:val="24"/>
        </w:rPr>
        <w:t>样品功能，</w:t>
      </w:r>
      <w:r>
        <w:rPr>
          <w:rFonts w:ascii="黑体" w:eastAsia="黑体" w:hint="eastAsia"/>
          <w:b/>
          <w:bCs/>
          <w:color w:val="FF0000"/>
          <w:sz w:val="24"/>
        </w:rPr>
        <w:t>本技术为表面有损测试，表面测试深度约为3个原子层左右。</w:t>
      </w:r>
    </w:p>
    <w:p w14:paraId="5AEB784F" w14:textId="77777777" w:rsidR="003B2DEE" w:rsidRDefault="00000000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color w:val="FF0000"/>
          <w:sz w:val="24"/>
        </w:rPr>
      </w:pPr>
      <w:r>
        <w:rPr>
          <w:rFonts w:ascii="黑体" w:eastAsia="黑体" w:hint="eastAsia"/>
          <w:b/>
          <w:bCs/>
          <w:color w:val="FF0000"/>
          <w:sz w:val="24"/>
        </w:rPr>
        <w:t>本仪器无法给出绝对刻蚀深度值，需要用户在测试后根据AFM或台阶</w:t>
      </w:r>
      <w:proofErr w:type="gramStart"/>
      <w:r>
        <w:rPr>
          <w:rFonts w:ascii="黑体" w:eastAsia="黑体" w:hint="eastAsia"/>
          <w:b/>
          <w:bCs/>
          <w:color w:val="FF0000"/>
          <w:sz w:val="24"/>
        </w:rPr>
        <w:t>仪结果</w:t>
      </w:r>
      <w:proofErr w:type="gramEnd"/>
      <w:r>
        <w:rPr>
          <w:rFonts w:ascii="黑体" w:eastAsia="黑体" w:hint="eastAsia"/>
          <w:b/>
          <w:bCs/>
          <w:color w:val="FF0000"/>
          <w:sz w:val="24"/>
        </w:rPr>
        <w:t>进行确定，请用户注意。</w:t>
      </w:r>
    </w:p>
    <w:p w14:paraId="5AEB7850" w14:textId="77777777" w:rsidR="003B2DEE" w:rsidRDefault="00000000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惰性转移仓需要将样品在手套箱中完成制样</w:t>
      </w:r>
      <w:proofErr w:type="gramStart"/>
      <w:r>
        <w:rPr>
          <w:rFonts w:ascii="黑体" w:eastAsia="黑体" w:hint="eastAsia"/>
          <w:b/>
          <w:bCs/>
          <w:sz w:val="24"/>
        </w:rPr>
        <w:t>与贴样后</w:t>
      </w:r>
      <w:proofErr w:type="gramEnd"/>
      <w:r>
        <w:rPr>
          <w:rFonts w:ascii="黑体" w:eastAsia="黑体" w:hint="eastAsia"/>
          <w:b/>
          <w:bCs/>
          <w:sz w:val="24"/>
        </w:rPr>
        <w:t>转移至特殊样品仓后，进入仪器进行测试。</w:t>
      </w:r>
    </w:p>
    <w:p w14:paraId="5AEB7851" w14:textId="77777777" w:rsidR="003B2DEE" w:rsidRDefault="00000000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Bi/Mn一次离子Spectrometry模式在5μm左右，Ultimate imaging极限情况＜ 100nm。刻蚀束斑在几十μm左右，GCIB束斑 S/A均在20μm左右。</w:t>
      </w:r>
    </w:p>
    <w:p w14:paraId="5AEB7852" w14:textId="77777777" w:rsidR="003B2DEE" w:rsidRDefault="00000000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粉末样品压片方法有二，一为胶带法（方法附后，胶带必须为</w:t>
      </w:r>
      <w:r>
        <w:rPr>
          <w:rFonts w:ascii="黑体" w:eastAsia="黑体" w:hint="eastAsia"/>
          <w:b/>
          <w:bCs/>
          <w:color w:val="FF0000"/>
          <w:sz w:val="24"/>
        </w:rPr>
        <w:t>无硅酮胶带</w:t>
      </w:r>
      <w:r>
        <w:rPr>
          <w:rFonts w:ascii="黑体" w:eastAsia="黑体" w:hint="eastAsia"/>
          <w:b/>
          <w:bCs/>
          <w:sz w:val="24"/>
        </w:rPr>
        <w:t>，如思髙665），另可用红外压片（注意样品一定要压成紧实坚固，散落样品</w:t>
      </w:r>
      <w:r>
        <w:rPr>
          <w:rFonts w:ascii="黑体" w:eastAsia="黑体" w:hint="eastAsia"/>
          <w:b/>
          <w:bCs/>
          <w:color w:val="FF0000"/>
          <w:sz w:val="24"/>
        </w:rPr>
        <w:t>无法测试</w:t>
      </w:r>
      <w:r>
        <w:rPr>
          <w:rFonts w:ascii="黑体" w:eastAsia="黑体" w:hint="eastAsia"/>
          <w:b/>
          <w:bCs/>
          <w:sz w:val="24"/>
        </w:rPr>
        <w:t>）</w:t>
      </w:r>
    </w:p>
    <w:p w14:paraId="5AEB7853" w14:textId="77777777" w:rsidR="003B2DEE" w:rsidRDefault="00000000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样品应避免采用自封袋等封装以免污染表面，建议采用离心管，</w:t>
      </w:r>
      <w:proofErr w:type="gramStart"/>
      <w:r>
        <w:rPr>
          <w:rFonts w:ascii="黑体" w:eastAsia="黑体" w:hint="eastAsia"/>
          <w:b/>
          <w:bCs/>
          <w:sz w:val="24"/>
        </w:rPr>
        <w:t>自吸盒等</w:t>
      </w:r>
      <w:proofErr w:type="gramEnd"/>
      <w:r>
        <w:rPr>
          <w:rFonts w:ascii="黑体" w:eastAsia="黑体" w:hint="eastAsia"/>
          <w:b/>
          <w:bCs/>
          <w:sz w:val="24"/>
        </w:rPr>
        <w:t>。</w:t>
      </w:r>
    </w:p>
    <w:p w14:paraId="5AEB7854" w14:textId="77777777" w:rsidR="003B2DEE" w:rsidRDefault="003B2DEE">
      <w:pPr>
        <w:spacing w:beforeLines="100" w:before="312"/>
        <w:rPr>
          <w:rFonts w:ascii="黑体" w:eastAsia="黑体"/>
          <w:b/>
          <w:bCs/>
          <w:sz w:val="24"/>
        </w:rPr>
      </w:pPr>
    </w:p>
    <w:p w14:paraId="5AEB7855" w14:textId="77777777" w:rsidR="003B2DEE" w:rsidRDefault="00000000">
      <w:pPr>
        <w:rPr>
          <w:rFonts w:ascii="黑体" w:eastAsia="黑体"/>
          <w:b/>
          <w:bCs/>
          <w:color w:val="FF0000"/>
          <w:sz w:val="24"/>
        </w:rPr>
      </w:pPr>
      <w:r>
        <w:rPr>
          <w:rFonts w:ascii="黑体" w:eastAsia="黑体" w:hint="eastAsia"/>
          <w:b/>
          <w:bCs/>
          <w:color w:val="FF0000"/>
          <w:sz w:val="24"/>
        </w:rPr>
        <w:br w:type="page"/>
      </w:r>
    </w:p>
    <w:p w14:paraId="5AEB7856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</w:rPr>
      </w:pPr>
      <w:r>
        <w:rPr>
          <w:rStyle w:val="a9"/>
          <w:rFonts w:ascii="Microsoft YaHei UI" w:eastAsia="Microsoft YaHei UI" w:hAnsi="Microsoft YaHei UI" w:cs="Microsoft YaHei UI" w:hint="eastAsia"/>
          <w:bCs/>
          <w:color w:val="021EAA"/>
          <w:spacing w:val="7"/>
          <w:shd w:val="clear" w:color="auto" w:fill="FFFFFF"/>
        </w:rPr>
        <w:lastRenderedPageBreak/>
        <w:t>粉末样品压片（胶带法）具体操作步骤：</w:t>
      </w:r>
    </w:p>
    <w:p w14:paraId="5AEB7857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1、 准备干净的铝箔（＞1 cm×1cm） ，用丙酮将其表面擦拭干净。</w:t>
      </w:r>
      <w:proofErr w:type="gramStart"/>
      <w:r>
        <w:rPr>
          <w:rFonts w:ascii="黑体" w:eastAsia="黑体" w:hint="eastAsia"/>
          <w:b/>
          <w:bCs/>
          <w:kern w:val="2"/>
        </w:rPr>
        <w:t>剪约</w:t>
      </w:r>
      <w:proofErr w:type="gramEnd"/>
      <w:r>
        <w:rPr>
          <w:rFonts w:ascii="黑体" w:eastAsia="黑体" w:hint="eastAsia"/>
          <w:b/>
          <w:bCs/>
          <w:kern w:val="2"/>
        </w:rPr>
        <w:t>1 cm×1cm 的无硅酮胶带，贴在铝箔中心位置。</w:t>
      </w:r>
    </w:p>
    <w:p w14:paraId="5AEB7858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2、将样品铺在双面胶带上，并用干净的不锈钢取样勺将粉末均匀铺满整个胶带，尽量薄。</w:t>
      </w:r>
    </w:p>
    <w:p w14:paraId="5AEB7859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3、 取另一片用丙酮擦拭干净的铝箔覆盖住样品。</w:t>
      </w:r>
    </w:p>
    <w:p w14:paraId="5AEB785A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黑体" w:eastAsia="黑体" w:hint="eastAsia"/>
          <w:b/>
          <w:bCs/>
          <w:kern w:val="2"/>
        </w:rPr>
        <w:t>4、将铝箔+样品放置于两块平整的不锈钢模块中间，准备压片 。</w:t>
      </w:r>
    </w:p>
    <w:p w14:paraId="5AEB785B" w14:textId="77777777" w:rsidR="003B2DEE" w:rsidRDefault="003B2DEE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</w:p>
    <w:p w14:paraId="5AEB785C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19"/>
          <w:szCs w:val="19"/>
          <w:shd w:val="clear" w:color="auto" w:fill="FFFFFF"/>
        </w:rPr>
        <w:drawing>
          <wp:inline distT="0" distB="0" distL="114300" distR="114300" wp14:anchorId="5AEB786D" wp14:editId="5AEB786E">
            <wp:extent cx="6249035" cy="1481455"/>
            <wp:effectExtent l="0" t="0" r="14605" b="1206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B785D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16"/>
          <w:szCs w:val="16"/>
          <w:shd w:val="clear" w:color="auto" w:fill="FFFFFF"/>
        </w:rPr>
        <w:t> 样品制备</w:t>
      </w:r>
    </w:p>
    <w:p w14:paraId="5AEB785E" w14:textId="77777777" w:rsidR="003B2DEE" w:rsidRDefault="003B2DEE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</w:p>
    <w:p w14:paraId="5AEB785F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5、将不锈钢模块+样品放置在压片机的平台上，左手固定住不锈钢块以免其移动，右手顺时针</w:t>
      </w:r>
      <w:proofErr w:type="gramStart"/>
      <w:r>
        <w:rPr>
          <w:rFonts w:ascii="黑体" w:eastAsia="黑体" w:hint="eastAsia"/>
          <w:b/>
          <w:bCs/>
          <w:kern w:val="2"/>
        </w:rPr>
        <w:t>将压柱旋下压紧</w:t>
      </w:r>
      <w:proofErr w:type="gramEnd"/>
      <w:r>
        <w:rPr>
          <w:rFonts w:ascii="黑体" w:eastAsia="黑体" w:hint="eastAsia"/>
          <w:b/>
          <w:bCs/>
          <w:kern w:val="2"/>
        </w:rPr>
        <w:t>模块（压机上方） 。</w:t>
      </w:r>
    </w:p>
    <w:p w14:paraId="5AEB7860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6、顺时针旋紧放油旋钮(压机前方旋钮)，拉动右侧压杆，将压力升至</w:t>
      </w:r>
      <w:proofErr w:type="gramStart"/>
      <w:r>
        <w:rPr>
          <w:rFonts w:ascii="黑体" w:eastAsia="黑体" w:hint="eastAsia"/>
          <w:b/>
          <w:bCs/>
          <w:kern w:val="2"/>
        </w:rPr>
        <w:t>至</w:t>
      </w:r>
      <w:proofErr w:type="gramEnd"/>
      <w:r>
        <w:rPr>
          <w:rFonts w:ascii="黑体" w:eastAsia="黑体" w:hint="eastAsia"/>
          <w:b/>
          <w:bCs/>
          <w:kern w:val="2"/>
        </w:rPr>
        <w:t>约1MPa，保持十几秒。</w:t>
      </w:r>
    </w:p>
    <w:p w14:paraId="5AEB7861" w14:textId="77777777" w:rsidR="003B2DEE" w:rsidRDefault="003B2DEE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</w:p>
    <w:p w14:paraId="5AEB7862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18"/>
          <w:szCs w:val="18"/>
          <w:shd w:val="clear" w:color="auto" w:fill="FFFFFF"/>
        </w:rPr>
        <w:drawing>
          <wp:inline distT="0" distB="0" distL="114300" distR="114300" wp14:anchorId="5AEB786F" wp14:editId="5AEB7870">
            <wp:extent cx="2371725" cy="1771650"/>
            <wp:effectExtent l="0" t="0" r="571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B7863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16"/>
          <w:szCs w:val="16"/>
          <w:shd w:val="clear" w:color="auto" w:fill="FFFFFF"/>
        </w:rPr>
        <w:t> 样品压片</w:t>
      </w:r>
    </w:p>
    <w:p w14:paraId="5AEB7864" w14:textId="77777777" w:rsidR="003B2DEE" w:rsidRDefault="003B2DEE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</w:p>
    <w:p w14:paraId="5AEB7865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7、卸压时先逆时针旋松放油旋钮，再逆时针</w:t>
      </w:r>
      <w:proofErr w:type="gramStart"/>
      <w:r>
        <w:rPr>
          <w:rFonts w:ascii="黑体" w:eastAsia="黑体" w:hint="eastAsia"/>
          <w:b/>
          <w:bCs/>
          <w:kern w:val="2"/>
        </w:rPr>
        <w:t>将压柱旋松</w:t>
      </w:r>
      <w:proofErr w:type="gramEnd"/>
      <w:r>
        <w:rPr>
          <w:rFonts w:ascii="黑体" w:eastAsia="黑体" w:hint="eastAsia"/>
          <w:b/>
          <w:bCs/>
          <w:kern w:val="2"/>
        </w:rPr>
        <w:t>，从压片机上取下不锈钢模块+样品。</w:t>
      </w:r>
    </w:p>
    <w:p w14:paraId="5AEB7866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8、将覆盖住样品的铝箔去掉，用洗耳球吹去表面残余的粉末。</w:t>
      </w:r>
      <w:r>
        <w:rPr>
          <w:rFonts w:ascii="黑体" w:eastAsia="黑体" w:hint="eastAsia"/>
          <w:b/>
          <w:bCs/>
          <w:kern w:val="2"/>
        </w:rPr>
        <w:t> </w:t>
      </w:r>
    </w:p>
    <w:p w14:paraId="5AEB7867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9、沿压制好的样品四周剪去铝箔，制成＞10mm x 10mm 的压片样品，等待测试。</w:t>
      </w:r>
    </w:p>
    <w:p w14:paraId="5AEB7868" w14:textId="77777777" w:rsidR="003B2DEE" w:rsidRDefault="003B2DEE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</w:p>
    <w:p w14:paraId="5AEB7869" w14:textId="77777777" w:rsidR="003B2DEE" w:rsidRDefault="00000000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19"/>
          <w:szCs w:val="19"/>
          <w:shd w:val="clear" w:color="auto" w:fill="FFFFFF"/>
        </w:rPr>
        <w:lastRenderedPageBreak/>
        <w:drawing>
          <wp:inline distT="0" distB="0" distL="114300" distR="114300" wp14:anchorId="5AEB7871" wp14:editId="5AEB7872">
            <wp:extent cx="3382645" cy="2649855"/>
            <wp:effectExtent l="0" t="0" r="635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B786A" w14:textId="77777777" w:rsidR="003B2DEE" w:rsidRDefault="003B2DEE">
      <w:pPr>
        <w:spacing w:beforeLines="100" w:before="312"/>
        <w:rPr>
          <w:rFonts w:ascii="黑体" w:eastAsia="黑体"/>
          <w:b/>
          <w:bCs/>
          <w:color w:val="FF0000"/>
          <w:sz w:val="24"/>
        </w:rPr>
      </w:pPr>
    </w:p>
    <w:p w14:paraId="5AEB786B" w14:textId="77777777" w:rsidR="003B2DEE" w:rsidRDefault="003B2DEE">
      <w:pPr>
        <w:spacing w:line="360" w:lineRule="auto"/>
        <w:rPr>
          <w:szCs w:val="21"/>
        </w:rPr>
      </w:pPr>
    </w:p>
    <w:p w14:paraId="5AEB786C" w14:textId="77777777" w:rsidR="003B2DEE" w:rsidRDefault="003B2DEE">
      <w:pPr>
        <w:spacing w:beforeLines="100" w:before="312"/>
        <w:rPr>
          <w:rFonts w:ascii="黑体" w:eastAsia="黑体"/>
          <w:b/>
          <w:bCs/>
          <w:color w:val="FF0000"/>
          <w:sz w:val="24"/>
        </w:rPr>
      </w:pPr>
    </w:p>
    <w:sectPr w:rsidR="003B2D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256"/>
    <w:multiLevelType w:val="multilevel"/>
    <w:tmpl w:val="39C212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FB38C48"/>
    <w:multiLevelType w:val="singleLevel"/>
    <w:tmpl w:val="3FB38C48"/>
    <w:lvl w:ilvl="0">
      <w:start w:val="1"/>
      <w:numFmt w:val="decimal"/>
      <w:suff w:val="nothing"/>
      <w:lvlText w:val="%1、"/>
      <w:lvlJc w:val="left"/>
    </w:lvl>
  </w:abstractNum>
  <w:num w:numId="1" w16cid:durableId="1001856892">
    <w:abstractNumId w:val="0"/>
  </w:num>
  <w:num w:numId="2" w16cid:durableId="150296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kODliOWIyZTU5OGMxYmQxZmY1NmQ5ODk1MGU0YzAifQ=="/>
  </w:docVars>
  <w:rsids>
    <w:rsidRoot w:val="00D51503"/>
    <w:rsid w:val="00053879"/>
    <w:rsid w:val="00060FEF"/>
    <w:rsid w:val="000A5351"/>
    <w:rsid w:val="00291AFE"/>
    <w:rsid w:val="002B3330"/>
    <w:rsid w:val="00320087"/>
    <w:rsid w:val="00341ABF"/>
    <w:rsid w:val="003763FB"/>
    <w:rsid w:val="003B2DEE"/>
    <w:rsid w:val="004B5B76"/>
    <w:rsid w:val="00665F57"/>
    <w:rsid w:val="0072237A"/>
    <w:rsid w:val="007476B0"/>
    <w:rsid w:val="00960C82"/>
    <w:rsid w:val="0099449E"/>
    <w:rsid w:val="009F45D5"/>
    <w:rsid w:val="00A462DA"/>
    <w:rsid w:val="00AD70C0"/>
    <w:rsid w:val="00B56E0B"/>
    <w:rsid w:val="00B75C46"/>
    <w:rsid w:val="00C2512B"/>
    <w:rsid w:val="00CD578F"/>
    <w:rsid w:val="00D24E7F"/>
    <w:rsid w:val="00D51503"/>
    <w:rsid w:val="00D66BEC"/>
    <w:rsid w:val="00E31B9D"/>
    <w:rsid w:val="00E64240"/>
    <w:rsid w:val="00E655E5"/>
    <w:rsid w:val="00E97FBD"/>
    <w:rsid w:val="00ED3D81"/>
    <w:rsid w:val="00EF4349"/>
    <w:rsid w:val="00F337BA"/>
    <w:rsid w:val="00F40D08"/>
    <w:rsid w:val="06AF24ED"/>
    <w:rsid w:val="07E140F1"/>
    <w:rsid w:val="0F0A4FBA"/>
    <w:rsid w:val="16690EE1"/>
    <w:rsid w:val="18A0635D"/>
    <w:rsid w:val="24343F39"/>
    <w:rsid w:val="29BD4928"/>
    <w:rsid w:val="33442352"/>
    <w:rsid w:val="37096013"/>
    <w:rsid w:val="40D20C9B"/>
    <w:rsid w:val="414825F7"/>
    <w:rsid w:val="46E91F71"/>
    <w:rsid w:val="5A651ED8"/>
    <w:rsid w:val="76AB6494"/>
    <w:rsid w:val="77203B0E"/>
    <w:rsid w:val="79C60719"/>
    <w:rsid w:val="7F6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B77DE"/>
  <w15:docId w15:val="{96B6B530-3A82-45ED-B6F2-58D8414D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CA4CE94C1AB47A79FBDC97E25F8F5" ma:contentTypeVersion="10" ma:contentTypeDescription="Create a new document." ma:contentTypeScope="" ma:versionID="3bec38d6bacf40626478679e8ee4da75">
  <xsd:schema xmlns:xsd="http://www.w3.org/2001/XMLSchema" xmlns:xs="http://www.w3.org/2001/XMLSchema" xmlns:p="http://schemas.microsoft.com/office/2006/metadata/properties" xmlns:ns3="dbf2471c-25d6-4df9-b546-ca5f90b8cdf5" targetNamespace="http://schemas.microsoft.com/office/2006/metadata/properties" ma:root="true" ma:fieldsID="6de927cabcfc7a93b53334a776fad69b" ns3:_="">
    <xsd:import namespace="dbf2471c-25d6-4df9-b546-ca5f90b8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471c-25d6-4df9-b546-ca5f90b8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AA025-7E0B-4FD3-B7C4-9013A760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471c-25d6-4df9-b546-ca5f90b8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3FBF2-3CAB-4D33-8911-0C97D7888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3D546-8340-41F4-A2FF-831A55DC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344</Words>
  <Characters>1962</Characters>
  <Application>Microsoft Office Word</Application>
  <DocSecurity>0</DocSecurity>
  <Lines>16</Lines>
  <Paragraphs>4</Paragraphs>
  <ScaleCrop>false</ScaleCrop>
  <Company>pcoss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固体表面物理化学国家重点实验室  X-光粉末衍射实验室</dc:title>
  <dc:creator>ye</dc:creator>
  <cp:lastModifiedBy>朱梦思</cp:lastModifiedBy>
  <cp:revision>8</cp:revision>
  <cp:lastPrinted>2004-06-23T00:32:00Z</cp:lastPrinted>
  <dcterms:created xsi:type="dcterms:W3CDTF">2023-11-06T06:50:00Z</dcterms:created>
  <dcterms:modified xsi:type="dcterms:W3CDTF">2023-11-08T02:06:00Z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0x010100409CA4CE94C1AB47A79FBDC97E25F8F5</vt:lpwstr>
  </property>
  <property fmtid="{D5CDD505-2E9C-101B-9397-08002B2CF9AE}" pid="3" name="KSOProductBuildVer">
    <vt:lpwstr>2052-12.1.0.15712</vt:lpwstr>
  </property>
  <property fmtid="{D5CDD505-2E9C-101B-9397-08002B2CF9AE}" pid="4" name="ICV">
    <vt:lpwstr>824B2C91EC5C47C1B757FE93E0EED159</vt:lpwstr>
  </property>
</Properties>
</file>